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4A" w:rsidRPr="0098424A" w:rsidRDefault="0098424A" w:rsidP="0098424A">
      <w:pPr>
        <w:spacing w:after="0" w:line="340" w:lineRule="exact"/>
        <w:jc w:val="center"/>
        <w:rPr>
          <w:rFonts w:ascii="Arial" w:eastAsia="Times New Roman" w:hAnsi="Arial" w:cs="Arial"/>
          <w:b/>
          <w:bCs/>
          <w:sz w:val="28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8"/>
          <w:szCs w:val="24"/>
          <w:lang w:eastAsia="pt-BR"/>
        </w:rPr>
        <w:t>RESOLUÇÃO CFM Nº 1.938/2010</w:t>
      </w:r>
    </w:p>
    <w:p w:rsidR="0098424A" w:rsidRPr="0098424A" w:rsidRDefault="0098424A" w:rsidP="0098424A">
      <w:pPr>
        <w:spacing w:after="0" w:line="340" w:lineRule="exact"/>
        <w:jc w:val="center"/>
        <w:rPr>
          <w:rFonts w:ascii="Arial" w:eastAsia="Times New Roman" w:hAnsi="Arial" w:cs="Arial"/>
          <w:b/>
          <w:bCs/>
          <w:sz w:val="28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color w:val="000000"/>
          <w:lang w:eastAsia="pt-BR"/>
        </w:rPr>
        <w:t xml:space="preserve">(Publicada no </w:t>
      </w:r>
      <w:proofErr w:type="spellStart"/>
      <w:r w:rsidRPr="0098424A">
        <w:rPr>
          <w:rFonts w:ascii="Arial" w:eastAsia="Times New Roman" w:hAnsi="Arial" w:cs="Arial"/>
          <w:b/>
          <w:color w:val="000000"/>
          <w:lang w:eastAsia="pt-BR"/>
        </w:rPr>
        <w:t>D.O.U.</w:t>
      </w:r>
      <w:proofErr w:type="spellEnd"/>
      <w:r w:rsidRPr="0098424A">
        <w:rPr>
          <w:rFonts w:ascii="Arial" w:eastAsia="Times New Roman" w:hAnsi="Arial" w:cs="Arial"/>
          <w:b/>
          <w:color w:val="000000"/>
          <w:lang w:eastAsia="pt-BR"/>
        </w:rPr>
        <w:t xml:space="preserve"> de </w:t>
      </w:r>
      <w:proofErr w:type="gramStart"/>
      <w:r w:rsidRPr="0098424A">
        <w:rPr>
          <w:rFonts w:ascii="Arial" w:eastAsia="Times New Roman" w:hAnsi="Arial" w:cs="Arial"/>
          <w:b/>
          <w:color w:val="000000"/>
          <w:lang w:eastAsia="pt-BR"/>
        </w:rPr>
        <w:t>5</w:t>
      </w:r>
      <w:proofErr w:type="gramEnd"/>
      <w:r w:rsidRPr="0098424A">
        <w:rPr>
          <w:rFonts w:ascii="Arial" w:eastAsia="Times New Roman" w:hAnsi="Arial" w:cs="Arial"/>
          <w:b/>
          <w:color w:val="000000"/>
          <w:lang w:eastAsia="pt-BR"/>
        </w:rPr>
        <w:t xml:space="preserve"> de fevereiro de 2010, seção I, p. 161)</w:t>
      </w:r>
    </w:p>
    <w:p w:rsidR="0098424A" w:rsidRPr="0098424A" w:rsidRDefault="0098424A" w:rsidP="0098424A">
      <w:pPr>
        <w:spacing w:after="0" w:line="340" w:lineRule="exact"/>
        <w:jc w:val="center"/>
        <w:rPr>
          <w:rFonts w:ascii="Arial" w:eastAsia="Times New Roman" w:hAnsi="Arial" w:cs="Arial"/>
          <w:b/>
          <w:bCs/>
          <w:sz w:val="28"/>
          <w:szCs w:val="24"/>
          <w:lang w:eastAsia="pt-BR"/>
        </w:rPr>
      </w:pPr>
    </w:p>
    <w:p w:rsidR="0098424A" w:rsidRPr="0098424A" w:rsidRDefault="0098424A" w:rsidP="0098424A">
      <w:pPr>
        <w:spacing w:before="120" w:after="120" w:line="360" w:lineRule="auto"/>
        <w:ind w:left="3538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Estabelece normas técnicas para regulamentar o diagnóstico e procedimentos terapêuticos da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e biomolecular, obedecendo aos postulados científicos oriundos de estudos clínico-epidemiológicos.</w:t>
      </w:r>
    </w:p>
    <w:p w:rsidR="0098424A" w:rsidRPr="0098424A" w:rsidRDefault="0098424A" w:rsidP="0098424A">
      <w:pPr>
        <w:spacing w:before="120" w:after="120" w:line="360" w:lineRule="auto"/>
        <w:ind w:left="3538" w:right="1065"/>
        <w:jc w:val="both"/>
        <w:rPr>
          <w:rFonts w:ascii="Arial" w:eastAsia="Times New Roman" w:hAnsi="Arial" w:cs="Arial"/>
          <w:sz w:val="4"/>
          <w:szCs w:val="24"/>
          <w:lang w:eastAsia="pt-BR"/>
        </w:rPr>
      </w:pPr>
    </w:p>
    <w:p w:rsidR="0098424A" w:rsidRPr="0098424A" w:rsidRDefault="0098424A" w:rsidP="0098424A">
      <w:pPr>
        <w:tabs>
          <w:tab w:val="left" w:pos="9342"/>
        </w:tabs>
        <w:spacing w:before="120" w:after="120" w:line="360" w:lineRule="auto"/>
        <w:ind w:left="1260" w:right="1065"/>
        <w:jc w:val="both"/>
        <w:rPr>
          <w:rFonts w:ascii="Arial" w:eastAsia="Times New Roman" w:hAnsi="Arial" w:cs="Arial"/>
          <w:spacing w:val="-2"/>
          <w:sz w:val="24"/>
          <w:szCs w:val="24"/>
          <w:lang w:val="af-ZA" w:eastAsia="af-ZA"/>
        </w:rPr>
      </w:pPr>
      <w:r w:rsidRPr="0098424A">
        <w:rPr>
          <w:rFonts w:ascii="Arial" w:eastAsia="Times New Roman" w:hAnsi="Arial" w:cs="Arial"/>
          <w:spacing w:val="1"/>
          <w:sz w:val="24"/>
          <w:szCs w:val="24"/>
          <w:lang w:val="af-ZA" w:eastAsia="af-ZA"/>
        </w:rPr>
        <w:t xml:space="preserve">O </w:t>
      </w:r>
      <w:r w:rsidRPr="0098424A">
        <w:rPr>
          <w:rFonts w:ascii="Arial" w:eastAsia="Times New Roman" w:hAnsi="Arial" w:cs="Arial"/>
          <w:b/>
          <w:spacing w:val="1"/>
          <w:sz w:val="24"/>
          <w:szCs w:val="24"/>
          <w:lang w:val="af-ZA" w:eastAsia="af-ZA"/>
        </w:rPr>
        <w:t>CONSELHO FEDERAL DE MEDICINA</w:t>
      </w:r>
      <w:r w:rsidRPr="0098424A">
        <w:rPr>
          <w:rFonts w:ascii="Arial" w:eastAsia="Times New Roman" w:hAnsi="Arial" w:cs="Arial"/>
          <w:spacing w:val="1"/>
          <w:sz w:val="24"/>
          <w:szCs w:val="24"/>
          <w:lang w:val="af-ZA" w:eastAsia="af-ZA"/>
        </w:rPr>
        <w:t xml:space="preserve">, no uso das atribuições conferidas </w:t>
      </w:r>
      <w:r w:rsidRPr="0098424A">
        <w:rPr>
          <w:rFonts w:ascii="Arial" w:eastAsia="Times New Roman" w:hAnsi="Arial" w:cs="Arial"/>
          <w:spacing w:val="-2"/>
          <w:sz w:val="24"/>
          <w:szCs w:val="24"/>
          <w:lang w:val="af-ZA" w:eastAsia="af-ZA"/>
        </w:rPr>
        <w:t>pela Lei n° 3.268, de 30 de setembro de 1957, regulamentada pelo Decreto n° 44.045, de 19 de julho de 1958, respectiva e posteriormente alterados pela Lei nº 11.000, de 15 de dezembro de 2004, e Decreto nº 6.821, de 14 de abril de 2009, e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que o alvo de toda a atenção do médico é a saúde do ser humano, em benefício da qual deverá agir com o máximo de zelo e o melhor de sua capacidade profissional;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que ao médico cabe zelar e trabalhar pelo perfeito desempenho ético da Medicina e pelo prestígio e bom conceito da profissão;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que é dever do médico guardar absoluto respeito pela saúde e vida do ser humano, sendo-lhe vedado realizar atos não consagrados nos meios acadêmicos ou ainda não aceitos pela comunidade científica;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que é vedado ao médico divulgar informação sobre assunto médico de forma sensacionalista, promocional ou de conteúdo inverídico;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que é vedado ao médico usar experimentalmente qualquer tipo de terapêutica ainda não liberada para uso em nosso país, sem a devida autorização dos órgãos competentes e sem o consentimento do paciente ou de seu responsável legal, devidamente informados da situação e das possíveis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consequências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crescente divulgação, entre a população, de novos métodos terapêuticos baseados no emprego de substâncias visando o equilíbrio celular, e a insuficiente comprovação científica de algumas dessas propostas;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existência de extensa literatura científica sobre radicais livres, substâncias antioxidantes e nutrição humana;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dificuldade da transposição de informações originadas de dados de experimentações realizadas em animais ou em sistemas, órgãos, tecidos e células isoladas para a prática clínica diária;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os riscos potenciais de doses inadequadas de produtos terapêuticos, tais como algumas vitaminas e certos sais minerais;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necessidade de definir limites de emprego, indicações e critérios científicos para a aplicação de procedimentos associados à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CONSIDERANDO 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>o que preceituam as Resoluções n</w:t>
      </w:r>
      <w:r w:rsidRPr="0098424A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 xml:space="preserve">os 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>196/96 e 251/97, do Conselho Nacional de Saúde, que, respectivamente, contém as diretrizes e normas regulamentadoras da pesquisa envolvendo seres humanos e dispõe sobre a pesquisa com novos fármacos, medicamentos, vacinas e testes diagnósticos;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 teor das Portarias n</w:t>
      </w:r>
      <w:r w:rsidRPr="0098424A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os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32, 33 e 40/98, da Secretaria de Vigilância Sanitária, que estabelecem normas para níveis de dosagens diárias de vitaminas e minerais em medicamento e a utilização diária pelo usuário;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CONSIDERANDO,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finalmente, o decidido na sessão plenária realizada em 14 de janeiro de 2010,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RESOLVE: 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Os termos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e biomolecular, habitualmente empregados, serão considerados equivalentes quando referidos à prática clínica que visa atingir o equilíbrio entre as células e as moléculas do corpo humano.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pressupõe o emprego de técnicas que possam avaliar quais nutrientes (vitaminas, minerais, ácidos graxos ou aminoácidos) podem, eventualmente, estar em falta ou em excesso no organismo humano.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identificação de alguma das deficiências ou excessos mencionados só poderá ser atribuída a erro nutricional ou distúrbio da função digestiva após terem sido investigadas e tratadas as doenças de base concomitantes.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Art. 4º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Medidas higiênicas, dietéticas e de estilo de vida não podem ser substituídas por qualquer tratamento medicamentoso, suplementos de vitaminas, de sais minerais, de ácidos graxos ou aminoácidos.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0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Os tratamentos da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devem obedecer às comprovações embasadas por evidências clínico-epidemiológicas que indiquem efeito terapêutico benéfico;</w:t>
      </w:r>
      <w:r w:rsidRPr="0098424A">
        <w:rPr>
          <w:rFonts w:ascii="Arial" w:eastAsia="Times New Roman" w:hAnsi="Arial" w:cs="Arial"/>
          <w:sz w:val="20"/>
          <w:szCs w:val="24"/>
          <w:lang w:eastAsia="pt-BR"/>
        </w:rPr>
        <w:t xml:space="preserve"> 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6º 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Os tratamentos propostos pela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incluem:</w:t>
      </w:r>
    </w:p>
    <w:p w:rsidR="0098424A" w:rsidRPr="0098424A" w:rsidRDefault="0098424A" w:rsidP="0098424A">
      <w:pPr>
        <w:numPr>
          <w:ilvl w:val="0"/>
          <w:numId w:val="1"/>
        </w:numPr>
        <w:tabs>
          <w:tab w:val="num" w:pos="180"/>
        </w:tabs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Correção nutricional e de hábitos de vida;</w:t>
      </w:r>
    </w:p>
    <w:p w:rsidR="0098424A" w:rsidRPr="0098424A" w:rsidRDefault="0098424A" w:rsidP="0098424A">
      <w:pPr>
        <w:numPr>
          <w:ilvl w:val="0"/>
          <w:numId w:val="1"/>
        </w:numPr>
        <w:tabs>
          <w:tab w:val="num" w:pos="180"/>
        </w:tabs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Reposição medicamentosa das deficiências de nutrientes</w:t>
      </w:r>
      <w:r w:rsidRPr="0098424A">
        <w:rPr>
          <w:rFonts w:ascii="Arial" w:eastAsia="Times New Roman" w:hAnsi="Arial" w:cs="Arial"/>
          <w:b/>
          <w:sz w:val="24"/>
          <w:szCs w:val="24"/>
          <w:lang w:eastAsia="pt-BR"/>
        </w:rPr>
        <w:t>;</w:t>
      </w:r>
    </w:p>
    <w:p w:rsidR="0098424A" w:rsidRPr="0098424A" w:rsidRDefault="0098424A" w:rsidP="0098424A">
      <w:pPr>
        <w:numPr>
          <w:ilvl w:val="0"/>
          <w:numId w:val="1"/>
        </w:numPr>
        <w:tabs>
          <w:tab w:val="num" w:pos="180"/>
        </w:tabs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Remoção de minerais, quando em excesso (ex.: ferro</w:t>
      </w:r>
      <w:proofErr w:type="gram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, cobre</w:t>
      </w:r>
      <w:proofErr w:type="gram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>), ou de minerais tóxicos (ex.: chumbo, mercúrio, alumínio), agrotóxicos, pesticidas ou aditivos alimentares.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sz w:val="24"/>
          <w:szCs w:val="24"/>
          <w:lang w:eastAsia="pt-BR"/>
        </w:rPr>
        <w:t>Art. 7º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reposição medicamentosa de comprovadas deficiências de nutrientes se fará de acordo com a existência de nexo causal entre a reposição de nutrientes e a meta terapêutica ou preventiva.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8º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A remoção de minerais, quando em excesso, ou de minerais tóxicos, agrotóxicos, pesticidas ou aditivos alimentares se fará de acordo com os seguintes princípios:</w:t>
      </w:r>
    </w:p>
    <w:p w:rsidR="0098424A" w:rsidRPr="0098424A" w:rsidRDefault="0098424A" w:rsidP="0098424A">
      <w:pPr>
        <w:numPr>
          <w:ilvl w:val="0"/>
          <w:numId w:val="2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O excesso de cada substância tóxica deverá ser considerado isoladamente;</w:t>
      </w:r>
    </w:p>
    <w:p w:rsidR="0098424A" w:rsidRPr="0098424A" w:rsidRDefault="0098424A" w:rsidP="0098424A">
      <w:pPr>
        <w:numPr>
          <w:ilvl w:val="0"/>
          <w:numId w:val="2"/>
        </w:numPr>
        <w:tabs>
          <w:tab w:val="num" w:pos="18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lastRenderedPageBreak/>
        <w:t>Existência, na literatura médica, de fundamentação bioquímica e fisiológica sobre o efeito deletério do excesso da substância tóxica considerada, bem como de dados que comprovem a possibilidade de correção efetiva por meio da remoção proposta;</w:t>
      </w:r>
    </w:p>
    <w:p w:rsidR="0098424A" w:rsidRPr="0098424A" w:rsidRDefault="0098424A" w:rsidP="0098424A">
      <w:pPr>
        <w:numPr>
          <w:ilvl w:val="0"/>
          <w:numId w:val="2"/>
        </w:numPr>
        <w:tabs>
          <w:tab w:val="num" w:pos="180"/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Além da melhoria dos parâmetros laboratoriais, deverá haver comprovação científica de utilidade clínica;</w:t>
      </w:r>
    </w:p>
    <w:p w:rsidR="0098424A" w:rsidRPr="0098424A" w:rsidRDefault="0098424A" w:rsidP="0098424A">
      <w:pPr>
        <w:numPr>
          <w:ilvl w:val="0"/>
          <w:numId w:val="2"/>
        </w:numPr>
        <w:tabs>
          <w:tab w:val="num" w:pos="180"/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O valor terapêutico da remoção de determinada substância tóxica deverá ser avaliado para cada tipo de distúrbio.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9º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São destituídos de comprovação científica suficiente quanto ao benefício para o ser humano sadio ou doente, e por essa razão têm vedados o uso e divulgação no exercício da Medicina, os seguintes procedimentos da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e biomolecular, diagnósticos ou terapêuticos, que empregam: 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Para a prevenção primária e secundária, doses de vitaminas, proteínas, sais minerais e lipídios que não respeitem os limites de segurança (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megadoses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>), de acordo com as normas nacionais e internacionais e os critérios adotados no art. 5º;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EDTA (</w:t>
      </w:r>
      <w:r w:rsidRPr="0098424A">
        <w:rPr>
          <w:rFonts w:ascii="Arial" w:eastAsia="Times New Roman" w:hAnsi="Arial" w:cs="Arial"/>
          <w:sz w:val="24"/>
          <w:szCs w:val="24"/>
          <w:lang w:val="pt-PT" w:eastAsia="pt-BR"/>
        </w:rPr>
        <w:t>ácido etilenodiaminotetracético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>) para remoção de metais tóxicos fora do contexto das intoxicações agudas e crônicas;</w:t>
      </w:r>
      <w:r w:rsidRPr="0098424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="288" w:after="288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O EDTA e a procaína como terapia antienvelhecimento,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anticâncer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antiarteriosclerose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ou voltadas para patologias crônicas degenerativas;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Análise do tecido capilar fora do contexto do diagnóstico de contaminação e/ou intoxicação por metais tóxicos;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Antioxidantes para melhorar o prognóstico de pacientes com doenças agudas, observadas as situações expressas no art. 5º; 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Antioxidantes que interfiram no mecanismo de ação da quimioterapia e da radioterapia no tratamento de pacientes com câncer;</w:t>
      </w:r>
    </w:p>
    <w:p w:rsidR="0098424A" w:rsidRPr="0098424A" w:rsidRDefault="0098424A" w:rsidP="0098424A">
      <w:pPr>
        <w:numPr>
          <w:ilvl w:val="0"/>
          <w:numId w:val="3"/>
        </w:numPr>
        <w:tabs>
          <w:tab w:val="num" w:pos="360"/>
        </w:tabs>
        <w:spacing w:beforeLines="120" w:afterLines="120" w:line="360" w:lineRule="auto"/>
        <w:ind w:left="1260" w:right="1065" w:hanging="35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Quaisquer terapias antienvelhecimento</w:t>
      </w:r>
      <w:proofErr w:type="gram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anticâncer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antiarteriosclerose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ou voltadas para doenças crônicas degenerativas, exceto nas situações de deficiências diagnosticadas cuja reposição mostra evidências de benefícios cientificamente comprovados.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smartTag w:uri="urn:schemas-microsoft-com:office:smarttags" w:element="metricconverter">
        <w:smartTagPr>
          <w:attr w:name="ProductID" w:val="10 A"/>
          <w:attr w:name="tabIndex" w:val="0"/>
          <w:attr w:name="style" w:val="BACKGROUND-IMAGE: url(res://ietag.dll/#34/#1001); BACKGROUND-REPEAT: repeat-x; BACKGROUND-POSITION: left bottom"/>
        </w:smartTagPr>
        <w:r w:rsidRPr="0098424A">
          <w:rPr>
            <w:rFonts w:ascii="Arial" w:eastAsia="Times New Roman" w:hAnsi="Arial" w:cs="Arial"/>
            <w:b/>
            <w:bCs/>
            <w:sz w:val="24"/>
            <w:szCs w:val="24"/>
            <w:lang w:eastAsia="pt-BR"/>
          </w:rPr>
          <w:t>10</w:t>
        </w:r>
        <w:r w:rsidRPr="0098424A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A</w:t>
        </w:r>
      </w:smartTag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indicação ou prescrição de medida terapêutica da prática </w:t>
      </w:r>
      <w:proofErr w:type="spell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ortomolecular</w:t>
      </w:r>
      <w:proofErr w:type="spell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ou biomolecular é de exclusiva competência e responsabilidade do médico.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11 </w:t>
      </w:r>
      <w:r w:rsidRPr="0098424A">
        <w:rPr>
          <w:rFonts w:ascii="Arial" w:eastAsia="Times New Roman" w:hAnsi="Arial" w:cs="Arial"/>
          <w:bCs/>
          <w:sz w:val="24"/>
          <w:szCs w:val="24"/>
          <w:lang w:eastAsia="pt-BR"/>
        </w:rPr>
        <w:t>O Conselho Federal de Medicina providenciará, dentro de suas atribuições legais, no prazo de dois anos, a reavaliação da metodologia científica envolvida.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sz w:val="24"/>
          <w:szCs w:val="24"/>
          <w:lang w:eastAsia="pt-BR"/>
        </w:rPr>
        <w:t>Art. 12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Revogam-se todas as disposições em contrário, em especial a Resolução CFM nº 1.500, publicada no Diário Oficial da União, Seção I, página 169, em </w:t>
      </w:r>
      <w:proofErr w:type="gramStart"/>
      <w:r w:rsidRPr="0098424A">
        <w:rPr>
          <w:rFonts w:ascii="Arial" w:eastAsia="Times New Roman" w:hAnsi="Arial" w:cs="Arial"/>
          <w:sz w:val="24"/>
          <w:szCs w:val="24"/>
          <w:lang w:eastAsia="pt-BR"/>
        </w:rPr>
        <w:t>3</w:t>
      </w:r>
      <w:proofErr w:type="gramEnd"/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de setembro de 1998.</w:t>
      </w:r>
    </w:p>
    <w:p w:rsidR="0098424A" w:rsidRPr="0098424A" w:rsidRDefault="0098424A" w:rsidP="0098424A">
      <w:pPr>
        <w:spacing w:beforeLines="120" w:afterLines="120" w:line="360" w:lineRule="auto"/>
        <w:ind w:left="1260" w:right="106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13</w:t>
      </w:r>
      <w:r w:rsidRPr="0098424A">
        <w:rPr>
          <w:rFonts w:ascii="Arial" w:eastAsia="Times New Roman" w:hAnsi="Arial" w:cs="Arial"/>
          <w:sz w:val="24"/>
          <w:szCs w:val="24"/>
          <w:lang w:eastAsia="pt-BR"/>
        </w:rPr>
        <w:t xml:space="preserve"> Esta resolução entra em vigor na data de sua publicação.</w:t>
      </w:r>
    </w:p>
    <w:p w:rsidR="0098424A" w:rsidRPr="0098424A" w:rsidRDefault="0098424A" w:rsidP="0098424A">
      <w:pPr>
        <w:spacing w:before="120" w:after="120" w:line="360" w:lineRule="auto"/>
        <w:ind w:left="126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8424A">
        <w:rPr>
          <w:rFonts w:ascii="Arial" w:eastAsia="Times New Roman" w:hAnsi="Arial" w:cs="Arial"/>
          <w:sz w:val="24"/>
          <w:szCs w:val="24"/>
          <w:lang w:eastAsia="pt-BR"/>
        </w:rPr>
        <w:t>Brasília-DF, 14 de janeiro de 2010</w:t>
      </w:r>
    </w:p>
    <w:tbl>
      <w:tblPr>
        <w:tblW w:w="0" w:type="auto"/>
        <w:jc w:val="center"/>
        <w:tblLook w:val="01E0"/>
      </w:tblPr>
      <w:tblGrid>
        <w:gridCol w:w="3970"/>
        <w:gridCol w:w="4750"/>
      </w:tblGrid>
      <w:tr w:rsidR="0098424A" w:rsidRPr="0098424A" w:rsidTr="0098424A">
        <w:trPr>
          <w:jc w:val="center"/>
        </w:trPr>
        <w:tc>
          <w:tcPr>
            <w:tcW w:w="4630" w:type="dxa"/>
            <w:hideMark/>
          </w:tcPr>
          <w:p w:rsidR="0098424A" w:rsidRPr="0098424A" w:rsidRDefault="0098424A" w:rsidP="0098424A">
            <w:pPr>
              <w:spacing w:after="0" w:line="240" w:lineRule="auto"/>
              <w:ind w:left="126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98424A">
              <w:rPr>
                <w:rFonts w:ascii="Arial" w:eastAsia="Times New Roman" w:hAnsi="Arial" w:cs="Arial"/>
                <w:b/>
                <w:spacing w:val="-5"/>
                <w:sz w:val="24"/>
                <w:szCs w:val="24"/>
                <w:lang w:val="af-ZA" w:eastAsia="af-ZA"/>
              </w:rPr>
              <w:t>ROBERTO LUIZ D’AVILA</w:t>
            </w:r>
          </w:p>
        </w:tc>
        <w:tc>
          <w:tcPr>
            <w:tcW w:w="5768" w:type="dxa"/>
            <w:hideMark/>
          </w:tcPr>
          <w:p w:rsidR="0098424A" w:rsidRPr="0098424A" w:rsidRDefault="0098424A" w:rsidP="0098424A">
            <w:pPr>
              <w:tabs>
                <w:tab w:val="left" w:pos="5796"/>
              </w:tabs>
              <w:spacing w:after="0" w:line="240" w:lineRule="auto"/>
              <w:ind w:left="1260"/>
              <w:jc w:val="center"/>
              <w:rPr>
                <w:rFonts w:ascii="Arial" w:eastAsia="Times New Roman" w:hAnsi="Arial" w:cs="Arial"/>
                <w:b/>
                <w:spacing w:val="-5"/>
                <w:sz w:val="24"/>
                <w:szCs w:val="24"/>
                <w:lang w:val="af-ZA" w:eastAsia="af-ZA"/>
              </w:rPr>
            </w:pPr>
            <w:r w:rsidRPr="0098424A">
              <w:rPr>
                <w:rFonts w:ascii="Arial" w:eastAsia="Times New Roman" w:hAnsi="Arial" w:cs="Arial"/>
                <w:b/>
                <w:spacing w:val="-5"/>
                <w:sz w:val="24"/>
                <w:szCs w:val="24"/>
                <w:lang w:val="af-ZA" w:eastAsia="af-ZA"/>
              </w:rPr>
              <w:t>HENRIQUE BATISTA E SILVA</w:t>
            </w:r>
          </w:p>
        </w:tc>
      </w:tr>
      <w:tr w:rsidR="0098424A" w:rsidRPr="0098424A" w:rsidTr="0098424A">
        <w:trPr>
          <w:jc w:val="center"/>
        </w:trPr>
        <w:tc>
          <w:tcPr>
            <w:tcW w:w="4630" w:type="dxa"/>
            <w:hideMark/>
          </w:tcPr>
          <w:p w:rsidR="0098424A" w:rsidRPr="0098424A" w:rsidRDefault="0098424A" w:rsidP="0098424A">
            <w:pPr>
              <w:spacing w:after="0" w:line="240" w:lineRule="auto"/>
              <w:ind w:left="126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98424A">
              <w:rPr>
                <w:rFonts w:ascii="Arial" w:eastAsia="Times New Roman" w:hAnsi="Arial" w:cs="Arial"/>
                <w:spacing w:val="-3"/>
                <w:sz w:val="24"/>
                <w:szCs w:val="24"/>
                <w:lang w:val="af-ZA" w:eastAsia="af-ZA"/>
              </w:rPr>
              <w:t>Presidente</w:t>
            </w:r>
          </w:p>
        </w:tc>
        <w:tc>
          <w:tcPr>
            <w:tcW w:w="5768" w:type="dxa"/>
            <w:hideMark/>
          </w:tcPr>
          <w:p w:rsidR="0098424A" w:rsidRPr="0098424A" w:rsidRDefault="0098424A" w:rsidP="0098424A">
            <w:pPr>
              <w:spacing w:after="0" w:line="240" w:lineRule="auto"/>
              <w:ind w:left="126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98424A">
              <w:rPr>
                <w:rFonts w:ascii="Arial" w:eastAsia="Times New Roman" w:hAnsi="Arial" w:cs="Arial"/>
                <w:spacing w:val="-2"/>
                <w:sz w:val="24"/>
                <w:szCs w:val="24"/>
                <w:lang w:val="af-ZA" w:eastAsia="af-ZA"/>
              </w:rPr>
              <w:t>Secretário-geral</w:t>
            </w:r>
          </w:p>
        </w:tc>
      </w:tr>
    </w:tbl>
    <w:p w:rsidR="0098424A" w:rsidRPr="0098424A" w:rsidRDefault="0098424A" w:rsidP="0098424A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8424A" w:rsidRDefault="0098424A"/>
    <w:sectPr w:rsidR="009842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D8B"/>
    <w:multiLevelType w:val="hybridMultilevel"/>
    <w:tmpl w:val="3B269168"/>
    <w:lvl w:ilvl="0" w:tplc="8734632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446DD"/>
    <w:multiLevelType w:val="hybridMultilevel"/>
    <w:tmpl w:val="8C8681A8"/>
    <w:lvl w:ilvl="0" w:tplc="70A0179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91AE9"/>
    <w:multiLevelType w:val="hybridMultilevel"/>
    <w:tmpl w:val="FE1623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8424A"/>
    <w:rsid w:val="0098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98424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98424A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1158</Words>
  <Characters>6255</Characters>
  <Application>Microsoft Office Word</Application>
  <DocSecurity>0</DocSecurity>
  <Lines>52</Lines>
  <Paragraphs>14</Paragraphs>
  <ScaleCrop>false</ScaleCrop>
  <Company>..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2010-02-05T17:59:00Z</dcterms:created>
  <dcterms:modified xsi:type="dcterms:W3CDTF">2010-02-05T18:00:00Z</dcterms:modified>
</cp:coreProperties>
</file>